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7BE4" w14:textId="0733A5F7" w:rsidR="00331E67" w:rsidRPr="00BC5E48" w:rsidRDefault="00E3323C" w:rsidP="00BC5E48">
      <w:pPr>
        <w:pBdr>
          <w:top w:val="single" w:sz="4" w:space="1" w:color="auto"/>
          <w:left w:val="single" w:sz="4" w:space="4" w:color="auto"/>
          <w:bottom w:val="single" w:sz="4" w:space="1" w:color="auto"/>
          <w:right w:val="single" w:sz="4" w:space="4" w:color="auto"/>
        </w:pBdr>
        <w:jc w:val="center"/>
        <w:rPr>
          <w:b/>
          <w:bCs/>
        </w:rPr>
      </w:pPr>
      <w:r>
        <w:rPr>
          <w:b/>
          <w:bCs/>
        </w:rPr>
        <w:t>MTGS FORMATION</w:t>
      </w:r>
    </w:p>
    <w:p w14:paraId="35E09049" w14:textId="77777777" w:rsidR="00E3323C" w:rsidRDefault="00E3323C" w:rsidP="00E3323C">
      <w:pPr>
        <w:jc w:val="center"/>
      </w:pPr>
      <w:r>
        <w:t>www.mtgsformation.com</w:t>
      </w:r>
    </w:p>
    <w:p w14:paraId="567AB868" w14:textId="77777777" w:rsidR="00E3323C" w:rsidRPr="00185F39" w:rsidRDefault="00E3323C" w:rsidP="00E3323C">
      <w:pPr>
        <w:pStyle w:val="p"/>
        <w:spacing w:before="15" w:after="30"/>
        <w:jc w:val="center"/>
        <w:rPr>
          <w:rFonts w:ascii="Calibri" w:eastAsia="Calibri" w:hAnsi="Calibri" w:cs="Arial"/>
          <w:sz w:val="16"/>
          <w:szCs w:val="16"/>
        </w:rPr>
      </w:pPr>
      <w:r w:rsidRPr="00D14931">
        <w:rPr>
          <w:rFonts w:ascii="Calibri" w:eastAsia="Calibri" w:hAnsi="Calibri" w:cs="Calibri"/>
          <w:color w:val="999999"/>
          <w:sz w:val="18"/>
          <w:szCs w:val="18"/>
          <w:lang w:eastAsia="fr-FR" w:bidi="ar-SA"/>
        </w:rPr>
        <w:t>Numéro d’enregistrement au répertoire du commerce et de l’industrie 18P09097</w:t>
      </w:r>
      <w:r>
        <w:t xml:space="preserve">. </w:t>
      </w:r>
    </w:p>
    <w:p w14:paraId="00B9A42A" w14:textId="5B4DE381" w:rsidR="00331E67" w:rsidRDefault="00331E67" w:rsidP="00BC5E48">
      <w:pPr>
        <w:jc w:val="center"/>
      </w:pPr>
      <w:r>
        <w:t xml:space="preserve"> CONDITIONS GÉNÉRALES DE VENTES</w:t>
      </w:r>
    </w:p>
    <w:p w14:paraId="08620986" w14:textId="167AFF35" w:rsidR="00331E67" w:rsidRDefault="00331E67" w:rsidP="00BC5E48">
      <w:pPr>
        <w:jc w:val="center"/>
      </w:pPr>
      <w:r>
        <w:t xml:space="preserve">Les présentes conditions générales de vente entrent en vigueur le </w:t>
      </w:r>
      <w:r w:rsidR="008A40DF">
        <w:t>4 JANVIER</w:t>
      </w:r>
      <w:r>
        <w:t xml:space="preserve"> 202</w:t>
      </w:r>
      <w:r w:rsidR="008A40DF">
        <w:t>1</w:t>
      </w:r>
      <w:r>
        <w:t>.</w:t>
      </w:r>
    </w:p>
    <w:p w14:paraId="09D0BF8D" w14:textId="77777777" w:rsidR="00BC5E48" w:rsidRDefault="00BC5E48"/>
    <w:p w14:paraId="737902C5" w14:textId="31A2B1D8" w:rsidR="00331E67" w:rsidRDefault="00331E67" w:rsidP="00331E67">
      <w:pPr>
        <w:pStyle w:val="Paragraphedeliste"/>
        <w:numPr>
          <w:ilvl w:val="0"/>
          <w:numId w:val="1"/>
        </w:numPr>
      </w:pPr>
      <w:r w:rsidRPr="00331E67">
        <w:rPr>
          <w:b/>
          <w:bCs/>
        </w:rPr>
        <w:t xml:space="preserve">Application des conditions générales de </w:t>
      </w:r>
      <w:r w:rsidR="00BC5E48" w:rsidRPr="00331E67">
        <w:rPr>
          <w:b/>
          <w:bCs/>
        </w:rPr>
        <w:t>ventes :</w:t>
      </w:r>
      <w:r>
        <w:t xml:space="preserve"> </w:t>
      </w:r>
    </w:p>
    <w:p w14:paraId="3AFB3997" w14:textId="2485C49F" w:rsidR="00331E67" w:rsidRDefault="00331E67" w:rsidP="00331E67">
      <w:r>
        <w:t xml:space="preserve">Les inscriptions et la participation dispensées par </w:t>
      </w:r>
      <w:bookmarkStart w:id="0" w:name="_Hlk65833037"/>
      <w:r w:rsidR="00E3323C">
        <w:t>MTGS FORMATION</w:t>
      </w:r>
      <w:r w:rsidR="00BC5E48">
        <w:t xml:space="preserve"> </w:t>
      </w:r>
      <w:bookmarkEnd w:id="0"/>
      <w:r>
        <w:t xml:space="preserve">impliquent l'acceptation entière de </w:t>
      </w:r>
      <w:r w:rsidR="00E3323C">
        <w:t>MTGS FORMATION</w:t>
      </w:r>
      <w:r w:rsidR="00BC5E48">
        <w:t xml:space="preserve"> </w:t>
      </w:r>
      <w:r>
        <w:t xml:space="preserve">et du participant aux présentes conditions générales de ventes. Aucune condition particulière ne sera acceptée contre ces présentes CVG, sauf acceptation écrite par </w:t>
      </w:r>
      <w:r w:rsidR="00E3323C">
        <w:t>MTGS FORMATION</w:t>
      </w:r>
      <w:r>
        <w:t xml:space="preserve">. </w:t>
      </w:r>
    </w:p>
    <w:p w14:paraId="76901462" w14:textId="46171109" w:rsidR="00331E67" w:rsidRDefault="00BC5E48" w:rsidP="00BC5E48">
      <w:pPr>
        <w:pStyle w:val="Paragraphedeliste"/>
        <w:numPr>
          <w:ilvl w:val="0"/>
          <w:numId w:val="1"/>
        </w:numPr>
      </w:pPr>
      <w:r w:rsidRPr="00BC5E48">
        <w:rPr>
          <w:b/>
          <w:bCs/>
        </w:rPr>
        <w:t>Inscription :</w:t>
      </w:r>
      <w:r w:rsidR="00331E67">
        <w:t xml:space="preserve"> </w:t>
      </w:r>
    </w:p>
    <w:p w14:paraId="203273CA" w14:textId="45453BDE" w:rsidR="00F60BCC" w:rsidRDefault="00331E67" w:rsidP="00F60BCC">
      <w:pPr>
        <w:ind w:right="40"/>
        <w:rPr>
          <w:rFonts w:ascii="Calibri" w:eastAsia="Calibri" w:hAnsi="Calibri" w:cs="Arial"/>
          <w:sz w:val="20"/>
          <w:szCs w:val="20"/>
          <w:lang w:eastAsia="fr-FR"/>
        </w:rPr>
      </w:pPr>
      <w:r>
        <w:t>Les bulletins d'inscription sont disponibles sur le site internet www.</w:t>
      </w:r>
      <w:r w:rsidR="00BC5E48">
        <w:t>lagoon-piscines</w:t>
      </w:r>
      <w:r>
        <w:t xml:space="preserve">.com ou par téléphone au 06 </w:t>
      </w:r>
      <w:r w:rsidR="00E8732B">
        <w:t>45 77 11 84</w:t>
      </w:r>
      <w:r>
        <w:t xml:space="preserve"> ou courrier sur simple demande. Toute inscription à une formation doit être confirmée par courrier avec le bulletin d'inscription dûment rempli. La confirmation de votre inscription ne sera effective qu'à la réception de ce bulletin d'inscription </w:t>
      </w:r>
      <w:r w:rsidR="00E3323C">
        <w:t xml:space="preserve">MTGS FORMATION </w:t>
      </w:r>
      <w:r>
        <w:t xml:space="preserve">accompagné du règlement par participant d'un acompte de 30% du montant de la formation. Ce bulletin et cet acompte devront être reçus 15 jours </w:t>
      </w:r>
      <w:r w:rsidR="00E8732B">
        <w:t xml:space="preserve">au moins </w:t>
      </w:r>
      <w:r>
        <w:t xml:space="preserve">avant la date de participation à la formation. Leur bonne réception vous sera confirmée par mail (ou par </w:t>
      </w:r>
      <w:r w:rsidR="00E8732B">
        <w:t>téléphone</w:t>
      </w:r>
      <w:r>
        <w:t xml:space="preserve"> le cas échéant). </w:t>
      </w:r>
      <w:r w:rsidR="00BC5E48">
        <w:t>Celui-ci</w:t>
      </w:r>
      <w:r>
        <w:t xml:space="preserve"> sera déduit du montant total de la formation effectuée, le solde étant exigible au plus tard au début de la formation. Tant que l'acompte ne sera pas perçu par la </w:t>
      </w:r>
      <w:r w:rsidR="00E3323C">
        <w:t xml:space="preserve">MTGS FORMATION </w:t>
      </w:r>
      <w:r w:rsidR="00BC5E48">
        <w:t>celle-ci</w:t>
      </w:r>
      <w:r>
        <w:t xml:space="preserve"> se réserve le droit de disposer librement des places retenues par le participant.</w:t>
      </w:r>
      <w:r w:rsidR="00F60BCC">
        <w:t xml:space="preserve"> </w:t>
      </w:r>
      <w:r>
        <w:t xml:space="preserve"> </w:t>
      </w:r>
      <w:r w:rsidR="00E3323C">
        <w:t>MTGS FORMATION</w:t>
      </w:r>
      <w:r w:rsidR="00F60BCC" w:rsidRPr="00F60BCC">
        <w:rPr>
          <w:rFonts w:ascii="Calibri" w:eastAsia="Calibri" w:hAnsi="Calibri" w:cs="Arial"/>
          <w:sz w:val="20"/>
          <w:szCs w:val="20"/>
          <w:lang w:eastAsia="fr-FR"/>
        </w:rPr>
        <w:t xml:space="preserve"> se réserve le droit de refuser toute candidature qu’elle juge inappropriée ou ne répondant pas aux prérequis.</w:t>
      </w:r>
    </w:p>
    <w:p w14:paraId="7DC61DC5" w14:textId="77777777" w:rsidR="00F60BCC" w:rsidRPr="00F60BCC" w:rsidRDefault="00F60BCC" w:rsidP="00F60BCC">
      <w:pPr>
        <w:ind w:right="40"/>
        <w:rPr>
          <w:rFonts w:eastAsia="Arial" w:cstheme="minorHAnsi"/>
          <w:bCs/>
          <w:color w:val="000000" w:themeColor="text1"/>
          <w:lang w:eastAsia="fr-FR"/>
        </w:rPr>
      </w:pPr>
    </w:p>
    <w:p w14:paraId="42764CCF" w14:textId="28293C8B" w:rsidR="00331E67" w:rsidRDefault="00331E67" w:rsidP="00BC5E48">
      <w:pPr>
        <w:pStyle w:val="Paragraphedeliste"/>
        <w:numPr>
          <w:ilvl w:val="0"/>
          <w:numId w:val="1"/>
        </w:numPr>
      </w:pPr>
      <w:r w:rsidRPr="00BC5E48">
        <w:rPr>
          <w:b/>
          <w:bCs/>
        </w:rPr>
        <w:t>Tarif</w:t>
      </w:r>
      <w:r w:rsidR="00E86983">
        <w:rPr>
          <w:b/>
          <w:bCs/>
        </w:rPr>
        <w:t>s</w:t>
      </w:r>
      <w:r w:rsidRPr="00BC5E48">
        <w:rPr>
          <w:b/>
          <w:bCs/>
        </w:rPr>
        <w:t xml:space="preserve"> et règlement</w:t>
      </w:r>
      <w:r>
        <w:t xml:space="preserve"> : </w:t>
      </w:r>
    </w:p>
    <w:p w14:paraId="6F9C3474" w14:textId="1BE88656" w:rsidR="00331E67" w:rsidRDefault="00331E67">
      <w:r>
        <w:t xml:space="preserve">Nos tarifs sont indiqués dans les programmes de formation. Ce sont des tarifs forfaitaires. Toute formation, commencée, est due en totalité. Tous les paiements s'effectueront avant le début de la formation. </w:t>
      </w:r>
    </w:p>
    <w:p w14:paraId="38690589" w14:textId="07349637" w:rsidR="00331E67" w:rsidRDefault="00331E67" w:rsidP="00BC5E48">
      <w:pPr>
        <w:pStyle w:val="Paragraphedeliste"/>
        <w:numPr>
          <w:ilvl w:val="0"/>
          <w:numId w:val="1"/>
        </w:numPr>
      </w:pPr>
      <w:r w:rsidRPr="00BC5E48">
        <w:rPr>
          <w:b/>
          <w:bCs/>
        </w:rPr>
        <w:t xml:space="preserve">Prise en charge de la </w:t>
      </w:r>
      <w:r w:rsidR="00BC5E48" w:rsidRPr="00BC5E48">
        <w:rPr>
          <w:b/>
          <w:bCs/>
        </w:rPr>
        <w:t>formation :</w:t>
      </w:r>
    </w:p>
    <w:p w14:paraId="3A52FD92" w14:textId="3470FE96" w:rsidR="00331E67" w:rsidRDefault="00331E67">
      <w:r w:rsidRPr="00331E67">
        <w:t xml:space="preserve"> </w:t>
      </w:r>
      <w:r>
        <w:t xml:space="preserve">Si votre formation est prise en charge, en cas de subrogation de paiement, si l'accord de prise en </w:t>
      </w:r>
      <w:proofErr w:type="gramStart"/>
      <w:r>
        <w:t>charge</w:t>
      </w:r>
      <w:proofErr w:type="gramEnd"/>
      <w:r>
        <w:t xml:space="preserve"> de votre organisme ne nous parvient pas au 1er jour de la formation, la formation vous sera facturée et vous devrez vous faire rembourser par votre organisme.</w:t>
      </w:r>
    </w:p>
    <w:p w14:paraId="6DE3893F" w14:textId="4D151E09" w:rsidR="00F60BCC" w:rsidRDefault="00F60BCC"/>
    <w:p w14:paraId="3E2E2BB1" w14:textId="77777777" w:rsidR="00F60BCC" w:rsidRDefault="00F60BCC"/>
    <w:p w14:paraId="3E5C207D" w14:textId="510768AA" w:rsidR="00331E67" w:rsidRDefault="00331E67" w:rsidP="00BC5E48">
      <w:pPr>
        <w:pStyle w:val="Paragraphedeliste"/>
        <w:numPr>
          <w:ilvl w:val="0"/>
          <w:numId w:val="1"/>
        </w:numPr>
      </w:pPr>
      <w:r w:rsidRPr="00BC5E48">
        <w:rPr>
          <w:b/>
          <w:bCs/>
        </w:rPr>
        <w:t xml:space="preserve"> </w:t>
      </w:r>
      <w:r w:rsidR="00BC5E48" w:rsidRPr="00BC5E48">
        <w:rPr>
          <w:b/>
          <w:bCs/>
        </w:rPr>
        <w:t>Contenu :</w:t>
      </w:r>
      <w:r>
        <w:t xml:space="preserve"> </w:t>
      </w:r>
    </w:p>
    <w:p w14:paraId="5FBB5C21" w14:textId="170D5329" w:rsidR="00331E67" w:rsidRDefault="00331E67">
      <w:r>
        <w:t>Le contenu pédagogique et le déroulement des formations sont disponibles sur notre site internet www.</w:t>
      </w:r>
      <w:r w:rsidR="00E3323C">
        <w:t>mtgsformation</w:t>
      </w:r>
      <w:r>
        <w:t>.com ou sur simple demande</w:t>
      </w:r>
      <w:r w:rsidR="006B1D1E">
        <w:t xml:space="preserve"> par mail ou</w:t>
      </w:r>
      <w:r>
        <w:t xml:space="preserve"> par courrier. </w:t>
      </w:r>
    </w:p>
    <w:p w14:paraId="7CD12A61" w14:textId="55977F1A" w:rsidR="00331E67" w:rsidRDefault="00331E67" w:rsidP="00BC5E48">
      <w:pPr>
        <w:pStyle w:val="Paragraphedeliste"/>
        <w:numPr>
          <w:ilvl w:val="0"/>
          <w:numId w:val="1"/>
        </w:numPr>
      </w:pPr>
      <w:r w:rsidRPr="00BC5E48">
        <w:rPr>
          <w:b/>
          <w:bCs/>
        </w:rPr>
        <w:t xml:space="preserve">Garantie de </w:t>
      </w:r>
      <w:r w:rsidR="00BC5E48" w:rsidRPr="00BC5E48">
        <w:rPr>
          <w:b/>
          <w:bCs/>
        </w:rPr>
        <w:t>participation :</w:t>
      </w:r>
      <w:r>
        <w:t xml:space="preserve"> </w:t>
      </w:r>
    </w:p>
    <w:p w14:paraId="45F537D9" w14:textId="08564EBC" w:rsidR="00331E67" w:rsidRDefault="00331E67">
      <w:r>
        <w:t xml:space="preserve">Dans le cas où les conditions au bon déroulement de la session de formation ne seraient pas réunies, la société </w:t>
      </w:r>
      <w:r w:rsidR="00E3323C">
        <w:t xml:space="preserve">MTGS FORMATION </w:t>
      </w:r>
      <w:r>
        <w:t xml:space="preserve">se réserve le droit de modifier la date prévue de celle-ci. Dans le cas où le nombre d'inscrits serait trop important, la société </w:t>
      </w:r>
      <w:r w:rsidR="00E3323C">
        <w:t xml:space="preserve">MTGS FORMATION </w:t>
      </w:r>
      <w:r>
        <w:t xml:space="preserve">vous proposera des dates alternatives. Dans les cas de modifications de dates </w:t>
      </w:r>
      <w:r w:rsidR="00BC5E48">
        <w:t>celles-ci</w:t>
      </w:r>
      <w:r>
        <w:t xml:space="preserve"> se feraient au plus tard 5 jours ouvrés avant la date de formation initiale. Si aucune de ces dates alternatives ne vous convient, le montant de votre acompte vous sera intégralement remboursé.</w:t>
      </w:r>
    </w:p>
    <w:p w14:paraId="4C6B82E7" w14:textId="16775BFF" w:rsidR="00331E67" w:rsidRDefault="00331E67" w:rsidP="00BC5E48">
      <w:pPr>
        <w:pStyle w:val="Paragraphedeliste"/>
        <w:numPr>
          <w:ilvl w:val="0"/>
          <w:numId w:val="1"/>
        </w:numPr>
      </w:pPr>
      <w:r w:rsidRPr="00BC5E48">
        <w:rPr>
          <w:b/>
          <w:bCs/>
        </w:rPr>
        <w:t xml:space="preserve">Annulation ou empêchement du </w:t>
      </w:r>
      <w:r w:rsidR="00BC5E48" w:rsidRPr="00BC5E48">
        <w:rPr>
          <w:b/>
          <w:bCs/>
        </w:rPr>
        <w:t>participant :</w:t>
      </w:r>
      <w:r>
        <w:t xml:space="preserve"> </w:t>
      </w:r>
    </w:p>
    <w:p w14:paraId="0A57FBE3" w14:textId="4B215865" w:rsidR="00331E67" w:rsidRDefault="00331E67">
      <w:r>
        <w:t xml:space="preserve">Toute annulation entraîne des complications d'organisation et déséquilibre les groupes déjà constitués. Nous vous demandons dans la mesure du possible d'éviter les annulations. En cas d'annulation tardive (moins de 5 jours) ouvrés avant la date de début de </w:t>
      </w:r>
      <w:r w:rsidR="00BC5E48">
        <w:t>formation,</w:t>
      </w:r>
      <w:r>
        <w:t xml:space="preserve"> nous nous réservons le droit de conserver l'acompte versé à titre d'indemnité forfaitaire. </w:t>
      </w:r>
    </w:p>
    <w:p w14:paraId="630541B3" w14:textId="6B42D913" w:rsidR="00331E67" w:rsidRDefault="00331E67" w:rsidP="00BC5E48">
      <w:pPr>
        <w:pStyle w:val="Paragraphedeliste"/>
        <w:numPr>
          <w:ilvl w:val="0"/>
          <w:numId w:val="1"/>
        </w:numPr>
      </w:pPr>
      <w:r w:rsidRPr="00BC5E48">
        <w:rPr>
          <w:b/>
          <w:bCs/>
        </w:rPr>
        <w:t xml:space="preserve">Propriété </w:t>
      </w:r>
      <w:r w:rsidR="00BC5E48" w:rsidRPr="00BC5E48">
        <w:rPr>
          <w:b/>
          <w:bCs/>
        </w:rPr>
        <w:t>intellectuelle :</w:t>
      </w:r>
      <w:r>
        <w:t xml:space="preserve"> </w:t>
      </w:r>
    </w:p>
    <w:p w14:paraId="7A28B813" w14:textId="3D707E7B" w:rsidR="00331E67" w:rsidRDefault="00331E67">
      <w:r>
        <w:t xml:space="preserve">Les documents distribués lors des formations sont la propriété de la société </w:t>
      </w:r>
      <w:r w:rsidR="00E3323C">
        <w:t>MTGS FORMATION</w:t>
      </w:r>
      <w:r>
        <w:t xml:space="preserve">. Toute reproduction ou modification de ces documents est interdite sans accord préalable. </w:t>
      </w:r>
    </w:p>
    <w:p w14:paraId="7F7B2A6E" w14:textId="55655B0E" w:rsidR="00331E67" w:rsidRDefault="00BC5E48" w:rsidP="00BC5E48">
      <w:pPr>
        <w:pStyle w:val="Paragraphedeliste"/>
        <w:numPr>
          <w:ilvl w:val="0"/>
          <w:numId w:val="1"/>
        </w:numPr>
      </w:pPr>
      <w:r w:rsidRPr="00BC5E48">
        <w:rPr>
          <w:b/>
          <w:bCs/>
        </w:rPr>
        <w:t>Responsabilité :</w:t>
      </w:r>
    </w:p>
    <w:p w14:paraId="130EF648" w14:textId="28A9F8D2" w:rsidR="00331E67" w:rsidRDefault="00331E67">
      <w:r>
        <w:t xml:space="preserve">L'obligation souscrite par le centre de formation </w:t>
      </w:r>
      <w:r w:rsidR="00E3323C">
        <w:t xml:space="preserve">MTGS FORMATION </w:t>
      </w:r>
      <w:r>
        <w:t xml:space="preserve">est une obligation de moyen et non de résultat. Le centre de formation </w:t>
      </w:r>
      <w:r w:rsidR="00E3323C">
        <w:t xml:space="preserve">MTGS FORMATION </w:t>
      </w:r>
      <w:r>
        <w:t xml:space="preserve">ne pourra en aucun cas être tenu responsable si un dommage corporel intervient lors des exercices pratiques ou théoriques effectués au sein des formations et dont le stagiaire serait victime. Le client renonce expressément à exercer tous recours (pour préjudice matériel ou immatériel) sur l’Organisme de Formation, ses représentants, son Gérant et ses Assureurs. De plus, le centre de formation </w:t>
      </w:r>
      <w:r w:rsidR="00E3323C">
        <w:t>MTGS FORMATION</w:t>
      </w:r>
      <w:r>
        <w:t xml:space="preserve"> ne sera pas tenu responsable de tout dommage ou pertes des objets et effets personnels des stagiaires. </w:t>
      </w:r>
    </w:p>
    <w:p w14:paraId="331A89A8" w14:textId="4BBEEDBF" w:rsidR="00331E67" w:rsidRDefault="00331E67" w:rsidP="00BC5E48">
      <w:pPr>
        <w:pStyle w:val="Paragraphedeliste"/>
        <w:numPr>
          <w:ilvl w:val="0"/>
          <w:numId w:val="1"/>
        </w:numPr>
      </w:pPr>
      <w:r w:rsidRPr="00BC5E48">
        <w:rPr>
          <w:b/>
          <w:bCs/>
        </w:rPr>
        <w:t xml:space="preserve">Loi applicable et clause attributive de </w:t>
      </w:r>
      <w:r w:rsidR="00BC5E48" w:rsidRPr="00BC5E48">
        <w:rPr>
          <w:b/>
          <w:bCs/>
        </w:rPr>
        <w:t>juridiction :</w:t>
      </w:r>
    </w:p>
    <w:p w14:paraId="7975EAEA" w14:textId="7F75EA7B" w:rsidR="00331E67" w:rsidRDefault="00331E67">
      <w:r>
        <w:t xml:space="preserve">Les conditions générales de ventes du centre de formation </w:t>
      </w:r>
      <w:r w:rsidR="00E3323C">
        <w:t>MTGS FORMATION</w:t>
      </w:r>
      <w:r>
        <w:t xml:space="preserve"> relèvent de la loi française. Tout litige qui ne pourrait être réglé à l'amiable sera de la compétence du tribunal de commerce de Nice. </w:t>
      </w:r>
    </w:p>
    <w:p w14:paraId="20A6E216" w14:textId="77777777" w:rsidR="00331E67" w:rsidRDefault="00331E67"/>
    <w:p w14:paraId="481F65F1" w14:textId="77777777" w:rsidR="00331E67" w:rsidRDefault="00331E67"/>
    <w:sectPr w:rsidR="00331E67" w:rsidSect="00BC5E48">
      <w:headerReference w:type="default" r:id="rId7"/>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221DE" w14:textId="77777777" w:rsidR="00FE0337" w:rsidRDefault="00FE0337" w:rsidP="00331E67">
      <w:pPr>
        <w:spacing w:after="0" w:line="240" w:lineRule="auto"/>
      </w:pPr>
      <w:r>
        <w:separator/>
      </w:r>
    </w:p>
  </w:endnote>
  <w:endnote w:type="continuationSeparator" w:id="0">
    <w:p w14:paraId="220972E7" w14:textId="77777777" w:rsidR="00FE0337" w:rsidRDefault="00FE0337" w:rsidP="0033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570608"/>
      <w:docPartObj>
        <w:docPartGallery w:val="Page Numbers (Bottom of Page)"/>
        <w:docPartUnique/>
      </w:docPartObj>
    </w:sdtPr>
    <w:sdtEndPr>
      <w:rPr>
        <w:rFonts w:ascii="Times New Roman" w:eastAsia="Times New Roman" w:hAnsi="Times New Roman" w:cs="Times New Roman"/>
        <w:sz w:val="24"/>
        <w:szCs w:val="24"/>
        <w:lang w:eastAsia="zh-CN" w:bidi="hi-IN"/>
      </w:rPr>
    </w:sdtEndPr>
    <w:sdtContent>
      <w:p w14:paraId="05AE893F" w14:textId="77777777" w:rsidR="00E3323C" w:rsidRPr="00D14931" w:rsidRDefault="00E3323C" w:rsidP="00E3323C">
        <w:pPr>
          <w:spacing w:before="15" w:after="30" w:line="240" w:lineRule="auto"/>
          <w:jc w:val="center"/>
          <w:rPr>
            <w:rFonts w:ascii="Calibri" w:eastAsia="Calibri" w:hAnsi="Calibri" w:cs="Calibri"/>
            <w:color w:val="999999"/>
            <w:sz w:val="18"/>
            <w:szCs w:val="18"/>
            <w:lang w:eastAsia="fr-FR"/>
          </w:rPr>
        </w:pPr>
        <w:r w:rsidRPr="00D14931">
          <w:rPr>
            <w:rFonts w:ascii="Calibri" w:eastAsia="Calibri" w:hAnsi="Calibri" w:cs="Calibri"/>
            <w:b/>
            <w:bCs/>
            <w:color w:val="999999"/>
            <w:sz w:val="18"/>
            <w:szCs w:val="18"/>
            <w:lang w:eastAsia="fr-FR"/>
          </w:rPr>
          <w:t>MICHELE TUSINO-MTGS FORMATIONS</w:t>
        </w:r>
        <w:r w:rsidRPr="00D14931">
          <w:rPr>
            <w:rFonts w:ascii="Calibri" w:eastAsia="Calibri" w:hAnsi="Calibri" w:cs="Calibri"/>
            <w:color w:val="999999"/>
            <w:sz w:val="18"/>
            <w:szCs w:val="18"/>
            <w:lang w:eastAsia="fr-FR"/>
          </w:rPr>
          <w:t xml:space="preserve"> | C/o DCS CENTER LE VICTORIA 13 BD PRINCESSE CHARLOTTE 98000 MONACO | </w:t>
        </w:r>
      </w:p>
      <w:p w14:paraId="13D3E9E4" w14:textId="77777777" w:rsidR="00E3323C" w:rsidRPr="00BC5E48" w:rsidRDefault="00E3323C" w:rsidP="00E3323C">
        <w:pPr>
          <w:pStyle w:val="p"/>
          <w:spacing w:before="15" w:after="30"/>
          <w:jc w:val="center"/>
          <w:rPr>
            <w:rFonts w:ascii="Calibri" w:eastAsia="Calibri" w:hAnsi="Calibri" w:cs="Arial"/>
            <w:sz w:val="16"/>
            <w:szCs w:val="16"/>
          </w:rPr>
        </w:pPr>
        <w:r w:rsidRPr="00D14931">
          <w:rPr>
            <w:rFonts w:ascii="Calibri" w:eastAsia="Calibri" w:hAnsi="Calibri" w:cs="Calibri"/>
            <w:color w:val="999999"/>
            <w:sz w:val="18"/>
            <w:szCs w:val="18"/>
            <w:lang w:eastAsia="fr-FR" w:bidi="ar-SA"/>
          </w:rPr>
          <w:t>Numéro d’enregistrement au répertoire du commerce et de l’industrie 18P09097</w:t>
        </w:r>
      </w:p>
      <w:p w14:paraId="7FEE3387" w14:textId="28ABE43B" w:rsidR="00BC5E48" w:rsidRDefault="00BC5E48" w:rsidP="00E3323C">
        <w:pPr>
          <w:pStyle w:val="p"/>
          <w:spacing w:before="15" w:after="30"/>
          <w:jc w:val="center"/>
        </w:pPr>
        <w:r>
          <w:tab/>
        </w:r>
        <w:r>
          <w:fldChar w:fldCharType="begin"/>
        </w:r>
        <w:r>
          <w:instrText>PAGE   \* MERGEFORMAT</w:instrText>
        </w:r>
        <w:r>
          <w:fldChar w:fldCharType="separate"/>
        </w:r>
        <w:r>
          <w:t>2</w:t>
        </w:r>
        <w:r>
          <w:fldChar w:fldCharType="end"/>
        </w:r>
        <w:r>
          <w:t>/2</w:t>
        </w:r>
      </w:p>
    </w:sdtContent>
  </w:sdt>
  <w:p w14:paraId="4E0D6D10" w14:textId="263FFD89" w:rsidR="00331E67" w:rsidRPr="00331E67" w:rsidRDefault="00331E67" w:rsidP="00331E67">
    <w:pPr>
      <w:tabs>
        <w:tab w:val="center" w:pos="4536"/>
        <w:tab w:val="right" w:pos="9072"/>
      </w:tabs>
      <w:spacing w:after="0" w:line="240" w:lineRule="auto"/>
      <w:jc w:val="center"/>
      <w:rPr>
        <w:rFonts w:ascii="Calibri" w:eastAsia="Calibri" w:hAnsi="Calibri" w:cs="Arial"/>
        <w:sz w:val="16"/>
        <w:szCs w:val="16"/>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CF4D" w14:textId="77777777" w:rsidR="00FE0337" w:rsidRDefault="00FE0337" w:rsidP="00331E67">
      <w:pPr>
        <w:spacing w:after="0" w:line="240" w:lineRule="auto"/>
      </w:pPr>
      <w:r>
        <w:separator/>
      </w:r>
    </w:p>
  </w:footnote>
  <w:footnote w:type="continuationSeparator" w:id="0">
    <w:p w14:paraId="15747670" w14:textId="77777777" w:rsidR="00FE0337" w:rsidRDefault="00FE0337" w:rsidP="00331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
      <w:tblW w:w="5000" w:type="pct"/>
      <w:tblInd w:w="10" w:type="dxa"/>
      <w:tblCellMar>
        <w:top w:w="5" w:type="dxa"/>
        <w:left w:w="5" w:type="dxa"/>
        <w:bottom w:w="5" w:type="dxa"/>
        <w:right w:w="5" w:type="dxa"/>
      </w:tblCellMar>
      <w:tblLook w:val="05E0" w:firstRow="1" w:lastRow="1" w:firstColumn="1" w:lastColumn="1" w:noHBand="0" w:noVBand="1"/>
    </w:tblPr>
    <w:tblGrid>
      <w:gridCol w:w="5869"/>
      <w:gridCol w:w="3203"/>
    </w:tblGrid>
    <w:tr w:rsidR="00E3323C" w:rsidRPr="00D77061" w14:paraId="35EAB8E3" w14:textId="77777777" w:rsidTr="00E3323C">
      <w:tc>
        <w:tcPr>
          <w:tcW w:w="5869" w:type="dxa"/>
        </w:tcPr>
        <w:tbl>
          <w:tblPr>
            <w:tblStyle w:val="table"/>
            <w:tblW w:w="4925" w:type="pct"/>
            <w:tblInd w:w="5" w:type="dxa"/>
            <w:tblCellMar>
              <w:left w:w="0" w:type="dxa"/>
              <w:right w:w="0" w:type="dxa"/>
            </w:tblCellMar>
            <w:tblLook w:val="05E0" w:firstRow="1" w:lastRow="1" w:firstColumn="1" w:lastColumn="1" w:noHBand="0" w:noVBand="1"/>
          </w:tblPr>
          <w:tblGrid>
            <w:gridCol w:w="4271"/>
            <w:gridCol w:w="1500"/>
          </w:tblGrid>
          <w:tr w:rsidR="00E3323C" w:rsidRPr="005144A3" w14:paraId="307DD45E" w14:textId="77777777" w:rsidTr="00405C0F">
            <w:trPr>
              <w:trHeight w:val="1913"/>
            </w:trPr>
            <w:tc>
              <w:tcPr>
                <w:tcW w:w="4892" w:type="dxa"/>
                <w:tcMar>
                  <w:top w:w="5" w:type="dxa"/>
                  <w:left w:w="5" w:type="dxa"/>
                  <w:bottom w:w="5" w:type="dxa"/>
                  <w:right w:w="5" w:type="dxa"/>
                </w:tcMar>
                <w:vAlign w:val="center"/>
              </w:tcPr>
              <w:p w14:paraId="4C39977F" w14:textId="77777777" w:rsidR="00E3323C" w:rsidRPr="005144A3" w:rsidRDefault="00E3323C" w:rsidP="00E3323C">
                <w:pPr>
                  <w:shd w:val="clear" w:color="auto" w:fill="FFFFFF"/>
                  <w:rPr>
                    <w:color w:val="212121"/>
                  </w:rPr>
                </w:pPr>
                <w:r w:rsidRPr="005144A3">
                  <w:rPr>
                    <w:color w:val="212121"/>
                  </w:rPr>
                  <w:t>MICHELE TUSINO</w:t>
                </w:r>
              </w:p>
              <w:p w14:paraId="5875C42B" w14:textId="77777777" w:rsidR="00E3323C" w:rsidRPr="005144A3" w:rsidRDefault="00E3323C" w:rsidP="00E3323C">
                <w:pPr>
                  <w:shd w:val="clear" w:color="auto" w:fill="FFFFFF"/>
                  <w:rPr>
                    <w:color w:val="212121"/>
                  </w:rPr>
                </w:pPr>
                <w:r w:rsidRPr="005144A3">
                  <w:rPr>
                    <w:color w:val="212121"/>
                  </w:rPr>
                  <w:t>MTGS FORMATION </w:t>
                </w:r>
              </w:p>
              <w:p w14:paraId="38F3938B" w14:textId="77777777" w:rsidR="00E3323C" w:rsidRPr="005144A3" w:rsidRDefault="00E3323C" w:rsidP="00E3323C">
                <w:pPr>
                  <w:shd w:val="clear" w:color="auto" w:fill="FFFFFF"/>
                  <w:rPr>
                    <w:color w:val="212121"/>
                  </w:rPr>
                </w:pPr>
                <w:r w:rsidRPr="005144A3">
                  <w:rPr>
                    <w:color w:val="212121"/>
                  </w:rPr>
                  <w:t>C/o DCS CENTER</w:t>
                </w:r>
              </w:p>
              <w:p w14:paraId="737000E0" w14:textId="77777777" w:rsidR="00E3323C" w:rsidRPr="005144A3" w:rsidRDefault="00E3323C" w:rsidP="00E3323C">
                <w:pPr>
                  <w:shd w:val="clear" w:color="auto" w:fill="FFFFFF"/>
                  <w:rPr>
                    <w:color w:val="212121"/>
                  </w:rPr>
                </w:pPr>
                <w:r w:rsidRPr="005144A3">
                  <w:rPr>
                    <w:color w:val="212121"/>
                  </w:rPr>
                  <w:t>LE VICTORIA </w:t>
                </w:r>
              </w:p>
              <w:p w14:paraId="2ADE9939" w14:textId="77777777" w:rsidR="00E3323C" w:rsidRPr="005144A3" w:rsidRDefault="00E3323C" w:rsidP="00E3323C">
                <w:pPr>
                  <w:shd w:val="clear" w:color="auto" w:fill="FFFFFF"/>
                  <w:rPr>
                    <w:color w:val="212121"/>
                  </w:rPr>
                </w:pPr>
                <w:r w:rsidRPr="005144A3">
                  <w:rPr>
                    <w:color w:val="212121"/>
                  </w:rPr>
                  <w:t>13 BD PRINCESSE CHARLOTTE </w:t>
                </w:r>
              </w:p>
              <w:p w14:paraId="38A8DF52" w14:textId="77777777" w:rsidR="00E3323C" w:rsidRPr="005144A3" w:rsidRDefault="00E3323C" w:rsidP="00E3323C">
                <w:pPr>
                  <w:pStyle w:val="p"/>
                  <w:spacing w:before="15" w:after="30"/>
                  <w:rPr>
                    <w:color w:val="212121"/>
                    <w:sz w:val="20"/>
                    <w:szCs w:val="20"/>
                  </w:rPr>
                </w:pPr>
                <w:r w:rsidRPr="005144A3">
                  <w:rPr>
                    <w:color w:val="212121"/>
                    <w:sz w:val="20"/>
                    <w:szCs w:val="20"/>
                  </w:rPr>
                  <w:t>98000 MONACO</w:t>
                </w:r>
              </w:p>
              <w:p w14:paraId="418C2ECC" w14:textId="77777777" w:rsidR="00E3323C" w:rsidRPr="005144A3" w:rsidRDefault="00E3323C" w:rsidP="00E3323C">
                <w:pPr>
                  <w:shd w:val="clear" w:color="auto" w:fill="FFFFFF"/>
                  <w:rPr>
                    <w:rFonts w:ascii="Calibri" w:eastAsia="Calibri" w:hAnsi="Calibri" w:cs="Calibri"/>
                    <w:color w:val="000000"/>
                  </w:rPr>
                </w:pPr>
                <w:r w:rsidRPr="005144A3">
                  <w:rPr>
                    <w:color w:val="212121"/>
                  </w:rPr>
                  <w:t xml:space="preserve">contact.mtformation@monaco.mc                                                               </w:t>
                </w:r>
              </w:p>
            </w:tc>
            <w:tc>
              <w:tcPr>
                <w:tcW w:w="2105" w:type="dxa"/>
                <w:tcMar>
                  <w:top w:w="5" w:type="dxa"/>
                  <w:left w:w="5" w:type="dxa"/>
                  <w:bottom w:w="5" w:type="dxa"/>
                  <w:right w:w="5" w:type="dxa"/>
                </w:tcMar>
                <w:vAlign w:val="center"/>
              </w:tcPr>
              <w:p w14:paraId="39EC1210" w14:textId="77777777" w:rsidR="00E3323C" w:rsidRPr="005144A3" w:rsidRDefault="00E3323C" w:rsidP="00E3323C">
                <w:pPr>
                  <w:pStyle w:val="p"/>
                  <w:spacing w:before="15" w:after="30"/>
                  <w:jc w:val="right"/>
                  <w:rPr>
                    <w:rFonts w:ascii="Calibri" w:eastAsia="Calibri" w:hAnsi="Calibri" w:cs="Calibri"/>
                    <w:color w:val="000000"/>
                  </w:rPr>
                </w:pPr>
              </w:p>
            </w:tc>
          </w:tr>
        </w:tbl>
        <w:p w14:paraId="3986A74C" w14:textId="00C97928" w:rsidR="00E3323C" w:rsidRPr="00D77061" w:rsidRDefault="00E3323C" w:rsidP="00E3323C">
          <w:pPr>
            <w:spacing w:before="15" w:after="30"/>
            <w:rPr>
              <w:rFonts w:ascii="Calibri" w:eastAsia="Calibri" w:hAnsi="Calibri" w:cs="Calibri"/>
              <w:color w:val="000000"/>
              <w:sz w:val="24"/>
              <w:szCs w:val="24"/>
            </w:rPr>
          </w:pPr>
        </w:p>
      </w:tc>
      <w:tc>
        <w:tcPr>
          <w:tcW w:w="3203" w:type="dxa"/>
        </w:tcPr>
        <w:tbl>
          <w:tblPr>
            <w:tblStyle w:val="table"/>
            <w:tblW w:w="4925" w:type="pct"/>
            <w:tblInd w:w="5" w:type="dxa"/>
            <w:tblCellMar>
              <w:left w:w="0" w:type="dxa"/>
              <w:right w:w="0" w:type="dxa"/>
            </w:tblCellMar>
            <w:tblLook w:val="05E0" w:firstRow="1" w:lastRow="1" w:firstColumn="1" w:lastColumn="1" w:noHBand="0" w:noVBand="1"/>
          </w:tblPr>
          <w:tblGrid>
            <w:gridCol w:w="2503"/>
            <w:gridCol w:w="642"/>
          </w:tblGrid>
          <w:tr w:rsidR="00E3323C" w:rsidRPr="005144A3" w14:paraId="3947DA05" w14:textId="77777777" w:rsidTr="00405C0F">
            <w:trPr>
              <w:trHeight w:val="1913"/>
            </w:trPr>
            <w:tc>
              <w:tcPr>
                <w:tcW w:w="4892" w:type="dxa"/>
                <w:tcMar>
                  <w:top w:w="5" w:type="dxa"/>
                  <w:left w:w="5" w:type="dxa"/>
                  <w:bottom w:w="5" w:type="dxa"/>
                  <w:right w:w="5" w:type="dxa"/>
                </w:tcMar>
                <w:vAlign w:val="center"/>
              </w:tcPr>
              <w:p w14:paraId="05D77BF3" w14:textId="3D9A1D75" w:rsidR="00E3323C" w:rsidRPr="005144A3" w:rsidRDefault="00E3323C" w:rsidP="00E3323C">
                <w:pPr>
                  <w:shd w:val="clear" w:color="auto" w:fill="FFFFFF"/>
                  <w:jc w:val="right"/>
                  <w:rPr>
                    <w:rFonts w:ascii="Calibri" w:eastAsia="Calibri" w:hAnsi="Calibri" w:cs="Calibri"/>
                    <w:color w:val="000000"/>
                  </w:rPr>
                </w:pPr>
                <w:r w:rsidRPr="00945583">
                  <w:rPr>
                    <w:noProof/>
                  </w:rPr>
                  <w:drawing>
                    <wp:inline distT="0" distB="0" distL="0" distR="0" wp14:anchorId="5C68E665" wp14:editId="3F5BA92D">
                      <wp:extent cx="928687" cy="928687"/>
                      <wp:effectExtent l="0" t="0" r="508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255" cy="930255"/>
                              </a:xfrm>
                              <a:prstGeom prst="rect">
                                <a:avLst/>
                              </a:prstGeom>
                              <a:noFill/>
                              <a:ln>
                                <a:noFill/>
                              </a:ln>
                            </pic:spPr>
                          </pic:pic>
                        </a:graphicData>
                      </a:graphic>
                    </wp:inline>
                  </w:drawing>
                </w:r>
              </w:p>
            </w:tc>
            <w:tc>
              <w:tcPr>
                <w:tcW w:w="2105" w:type="dxa"/>
                <w:tcMar>
                  <w:top w:w="5" w:type="dxa"/>
                  <w:left w:w="5" w:type="dxa"/>
                  <w:bottom w:w="5" w:type="dxa"/>
                  <w:right w:w="5" w:type="dxa"/>
                </w:tcMar>
                <w:vAlign w:val="center"/>
              </w:tcPr>
              <w:p w14:paraId="36BAD9F2" w14:textId="77777777" w:rsidR="00E3323C" w:rsidRPr="005144A3" w:rsidRDefault="00E3323C" w:rsidP="00E3323C">
                <w:pPr>
                  <w:pStyle w:val="p"/>
                  <w:spacing w:before="15" w:after="30"/>
                  <w:jc w:val="right"/>
                  <w:rPr>
                    <w:rFonts w:ascii="Calibri" w:eastAsia="Calibri" w:hAnsi="Calibri" w:cs="Calibri"/>
                    <w:color w:val="000000"/>
                  </w:rPr>
                </w:pPr>
              </w:p>
            </w:tc>
          </w:tr>
        </w:tbl>
        <w:p w14:paraId="7DCCD3EA" w14:textId="6648EAD8" w:rsidR="00E3323C" w:rsidRPr="00D77061" w:rsidRDefault="00E3323C" w:rsidP="00E3323C">
          <w:pPr>
            <w:spacing w:before="15" w:after="30"/>
            <w:jc w:val="right"/>
            <w:rPr>
              <w:rFonts w:ascii="Calibri" w:eastAsia="Calibri" w:hAnsi="Calibri" w:cs="Calibri"/>
              <w:color w:val="000000"/>
              <w:sz w:val="24"/>
              <w:szCs w:val="24"/>
            </w:rPr>
          </w:pPr>
        </w:p>
      </w:tc>
    </w:tr>
  </w:tbl>
  <w:p w14:paraId="1C568498" w14:textId="77777777" w:rsidR="00D77061" w:rsidRDefault="00D770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F3B04"/>
    <w:multiLevelType w:val="hybridMultilevel"/>
    <w:tmpl w:val="16C27DC4"/>
    <w:lvl w:ilvl="0" w:tplc="795C1E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67"/>
    <w:rsid w:val="00331E67"/>
    <w:rsid w:val="00361A01"/>
    <w:rsid w:val="003B1C79"/>
    <w:rsid w:val="006B1D1E"/>
    <w:rsid w:val="008A40DF"/>
    <w:rsid w:val="00BC5E48"/>
    <w:rsid w:val="00BC665C"/>
    <w:rsid w:val="00BD7336"/>
    <w:rsid w:val="00D77061"/>
    <w:rsid w:val="00E3323C"/>
    <w:rsid w:val="00E86983"/>
    <w:rsid w:val="00E8732B"/>
    <w:rsid w:val="00F60BCC"/>
    <w:rsid w:val="00F73891"/>
    <w:rsid w:val="00FE0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71BE"/>
  <w15:chartTrackingRefBased/>
  <w15:docId w15:val="{1EB0BE1A-C244-434C-AABA-A8C865EE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1E67"/>
    <w:pPr>
      <w:tabs>
        <w:tab w:val="center" w:pos="4536"/>
        <w:tab w:val="right" w:pos="9072"/>
      </w:tabs>
      <w:spacing w:after="0" w:line="240" w:lineRule="auto"/>
    </w:pPr>
  </w:style>
  <w:style w:type="character" w:customStyle="1" w:styleId="En-tteCar">
    <w:name w:val="En-tête Car"/>
    <w:basedOn w:val="Policepardfaut"/>
    <w:link w:val="En-tte"/>
    <w:uiPriority w:val="99"/>
    <w:rsid w:val="00331E67"/>
  </w:style>
  <w:style w:type="paragraph" w:styleId="Pieddepage">
    <w:name w:val="footer"/>
    <w:basedOn w:val="Normal"/>
    <w:link w:val="PieddepageCar"/>
    <w:uiPriority w:val="99"/>
    <w:unhideWhenUsed/>
    <w:rsid w:val="00331E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E67"/>
  </w:style>
  <w:style w:type="paragraph" w:styleId="Paragraphedeliste">
    <w:name w:val="List Paragraph"/>
    <w:basedOn w:val="Normal"/>
    <w:uiPriority w:val="34"/>
    <w:qFormat/>
    <w:rsid w:val="00331E67"/>
    <w:pPr>
      <w:ind w:left="720"/>
      <w:contextualSpacing/>
    </w:pPr>
  </w:style>
  <w:style w:type="paragraph" w:customStyle="1" w:styleId="p">
    <w:name w:val="p"/>
    <w:basedOn w:val="Normal"/>
    <w:qFormat/>
    <w:rsid w:val="00BC5E48"/>
    <w:pPr>
      <w:suppressAutoHyphens/>
      <w:spacing w:after="0" w:line="240" w:lineRule="auto"/>
    </w:pPr>
    <w:rPr>
      <w:rFonts w:ascii="Times New Roman" w:eastAsia="Times New Roman" w:hAnsi="Times New Roman" w:cs="Times New Roman"/>
      <w:sz w:val="24"/>
      <w:szCs w:val="24"/>
      <w:lang w:eastAsia="zh-CN" w:bidi="hi-IN"/>
    </w:rPr>
  </w:style>
  <w:style w:type="table" w:customStyle="1" w:styleId="table">
    <w:name w:val="table"/>
    <w:basedOn w:val="TableauNormal"/>
    <w:rsid w:val="00D77061"/>
    <w:pPr>
      <w:suppressAutoHyphens/>
      <w:spacing w:after="0" w:line="240" w:lineRule="auto"/>
    </w:pPr>
    <w:rPr>
      <w:rFonts w:ascii="Times New Roman" w:eastAsia="Times New Roman" w:hAnsi="Times New Roman" w:cs="Times New Roman"/>
      <w:sz w:val="20"/>
      <w:szCs w:val="20"/>
      <w:lang w:eastAsia="zh-CN" w:bidi="hi-I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 Olou</dc:creator>
  <cp:keywords/>
  <dc:description/>
  <cp:lastModifiedBy>Armel Olou</cp:lastModifiedBy>
  <cp:revision>2</cp:revision>
  <dcterms:created xsi:type="dcterms:W3CDTF">2021-03-05T09:41:00Z</dcterms:created>
  <dcterms:modified xsi:type="dcterms:W3CDTF">2021-03-05T09:41:00Z</dcterms:modified>
</cp:coreProperties>
</file>